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5A" w:rsidRPr="003C6D5A" w:rsidRDefault="003C6D5A" w:rsidP="003C6D5A">
      <w:pPr>
        <w:keepNext/>
        <w:spacing w:before="240" w:after="60" w:line="240" w:lineRule="auto"/>
        <w:outlineLvl w:val="0"/>
        <w:rPr>
          <w:rFonts w:ascii="Calibri" w:eastAsia="Calibri" w:hAnsi="Calibri" w:cs="Arial" w:hint="cs"/>
        </w:rPr>
      </w:pPr>
      <w:bookmarkStart w:id="0" w:name="_Toc394570188"/>
      <w:bookmarkStart w:id="1" w:name="_GoBack"/>
      <w:bookmarkEnd w:id="1"/>
    </w:p>
    <w:p w:rsidR="003C6D5A" w:rsidRPr="003C6D5A" w:rsidRDefault="003C6D5A" w:rsidP="003C6D5A">
      <w:pPr>
        <w:keepNext/>
        <w:spacing w:before="240" w:after="60" w:line="240" w:lineRule="auto"/>
        <w:outlineLvl w:val="0"/>
        <w:rPr>
          <w:rFonts w:ascii="Arial" w:eastAsia="Times New Roman" w:hAnsi="Arial" w:cs="David"/>
          <w:b/>
          <w:bCs/>
          <w:kern w:val="32"/>
          <w:sz w:val="32"/>
          <w:szCs w:val="32"/>
        </w:rPr>
      </w:pPr>
      <w:r w:rsidRPr="003C6D5A">
        <w:rPr>
          <w:rFonts w:ascii="Arial" w:eastAsia="Times New Roman" w:hAnsi="Arial" w:cs="David"/>
          <w:b/>
          <w:bCs/>
          <w:kern w:val="32"/>
          <w:sz w:val="32"/>
          <w:szCs w:val="32"/>
          <w:rtl/>
        </w:rPr>
        <w:t xml:space="preserve"> </w:t>
      </w:r>
      <w:bookmarkStart w:id="2" w:name="_Toc394571283"/>
      <w:bookmarkStart w:id="3" w:name="_Toc394574721"/>
      <w:r w:rsidRPr="003C6D5A">
        <w:rPr>
          <w:rFonts w:ascii="Arial" w:eastAsia="Times New Roman" w:hAnsi="Arial" w:cs="David"/>
          <w:b/>
          <w:bCs/>
          <w:kern w:val="32"/>
          <w:sz w:val="32"/>
          <w:szCs w:val="32"/>
          <w:rtl/>
        </w:rPr>
        <w:t>תקציר</w:t>
      </w:r>
      <w:bookmarkEnd w:id="0"/>
      <w:bookmarkEnd w:id="2"/>
      <w:bookmarkEnd w:id="3"/>
    </w:p>
    <w:p w:rsidR="003C6D5A" w:rsidRPr="003C6D5A" w:rsidRDefault="003C6D5A" w:rsidP="003C6D5A">
      <w:pPr>
        <w:spacing w:before="100" w:beforeAutospacing="1" w:after="0" w:afterAutospacing="1" w:line="360" w:lineRule="auto"/>
        <w:jc w:val="both"/>
        <w:rPr>
          <w:rFonts w:ascii="Times New Roman" w:eastAsia="Times New Roman" w:hAnsi="Times New Roman" w:cs="David"/>
          <w:sz w:val="24"/>
          <w:szCs w:val="24"/>
          <w:rtl/>
        </w:rPr>
      </w:pPr>
      <w:r w:rsidRPr="003C6D5A">
        <w:rPr>
          <w:rFonts w:ascii="Times New Roman" w:eastAsia="Times New Roman" w:hAnsi="Times New Roman" w:cs="David"/>
          <w:sz w:val="24"/>
          <w:szCs w:val="24"/>
          <w:rtl/>
        </w:rPr>
        <w:t>תפקידה של השפה הפיגורטיבית לעורר ולהעשיר את המשמעות. היא משמשת להעברת מחשבות, רגשות ורעיונות שיתכן ולא ניתן לבטאם או שאופן הביטוי פחות אפקטיבי ללא השימוש בשפה הפיגורטיבית. השימוש בשפה הפיגורטיבית דורש שימוש בתהליכי חשיבה מופשטים וגבוהים וכמו כן, לעיתים קרובות, מצריך שימוש במשלב שפתי גבוה (</w:t>
      </w:r>
      <w:r w:rsidRPr="003C6D5A">
        <w:rPr>
          <w:rFonts w:ascii="Times New Roman" w:eastAsia="Times New Roman" w:hAnsi="Times New Roman" w:cs="David"/>
          <w:color w:val="222222"/>
          <w:sz w:val="24"/>
          <w:szCs w:val="24"/>
          <w:shd w:val="clear" w:color="auto" w:fill="FFFFFF"/>
        </w:rPr>
        <w:t>(Qualls &amp; Harris, 200</w:t>
      </w:r>
      <w:r w:rsidRPr="003C6D5A">
        <w:rPr>
          <w:rFonts w:ascii="Times New Roman" w:eastAsia="Times New Roman" w:hAnsi="Times New Roman" w:cs="David"/>
          <w:sz w:val="24"/>
          <w:szCs w:val="24"/>
        </w:rPr>
        <w:t>3</w:t>
      </w:r>
      <w:r w:rsidRPr="003C6D5A">
        <w:rPr>
          <w:rFonts w:ascii="Times New Roman" w:eastAsia="Times New Roman" w:hAnsi="Times New Roman" w:cs="David"/>
          <w:sz w:val="24"/>
          <w:szCs w:val="24"/>
          <w:rtl/>
        </w:rPr>
        <w:t>. המחקר הנוכחי עסק בעיבוד המיספרי של שפה פיגורטיבית בקרב בוגרים לקויי למידה, תוך התמקדות בניבים ואירוניות. מן הספרות המקצועית עלה כי בקרב לקויי למידה בכלל ודיסלקטים בפרט קיים קושי בשימוש ובהבנה של שפה פיגורטיבית (</w:t>
      </w:r>
      <w:r w:rsidRPr="003C6D5A">
        <w:rPr>
          <w:rFonts w:ascii="Times New Roman" w:eastAsia="Times New Roman" w:hAnsi="Times New Roman" w:cs="David"/>
          <w:sz w:val="24"/>
          <w:szCs w:val="24"/>
        </w:rPr>
        <w:t>(Cooke, 2001</w:t>
      </w:r>
      <w:r w:rsidRPr="003C6D5A">
        <w:rPr>
          <w:rFonts w:ascii="Times New Roman" w:eastAsia="Times New Roman" w:hAnsi="Times New Roman" w:cs="David"/>
          <w:sz w:val="24"/>
          <w:szCs w:val="24"/>
          <w:rtl/>
        </w:rPr>
        <w:t xml:space="preserve">. </w:t>
      </w:r>
      <w:r w:rsidRPr="003C6D5A">
        <w:rPr>
          <w:rFonts w:ascii="Times New Roman" w:eastAsia="Times New Roman" w:hAnsi="Times New Roman" w:cs="David"/>
          <w:color w:val="000000"/>
          <w:sz w:val="24"/>
          <w:szCs w:val="24"/>
          <w:rtl/>
        </w:rPr>
        <w:t xml:space="preserve">בהתייחס לעיבוד המיספרי של השפה הפיגורטיבית, </w:t>
      </w:r>
      <w:r w:rsidRPr="003C6D5A">
        <w:rPr>
          <w:rFonts w:ascii="Times New Roman" w:eastAsia="Times New Roman" w:hAnsi="Times New Roman" w:cs="David"/>
          <w:sz w:val="24"/>
          <w:szCs w:val="24"/>
          <w:rtl/>
        </w:rPr>
        <w:t xml:space="preserve">מחקרי הדמיה ומחקרים התנהגותיים מעידים על מעורבות של ההמיספרה הימנית כשמדובר במשימות הכוללות רב משמעיות סמנטית והבנה של שפה פיגורטיבית </w:t>
      </w:r>
      <w:r w:rsidRPr="003C6D5A">
        <w:rPr>
          <w:rFonts w:ascii="Times New Roman" w:eastAsia="Times New Roman" w:hAnsi="Times New Roman" w:cs="David"/>
          <w:color w:val="000000"/>
          <w:sz w:val="24"/>
          <w:szCs w:val="24"/>
          <w:rtl/>
        </w:rPr>
        <w:t>(</w:t>
      </w:r>
      <w:r w:rsidRPr="003C6D5A">
        <w:rPr>
          <w:rFonts w:ascii="Times New Roman" w:eastAsia="Times New Roman" w:hAnsi="Times New Roman" w:cs="David"/>
          <w:color w:val="000000"/>
          <w:sz w:val="24"/>
          <w:szCs w:val="24"/>
        </w:rPr>
        <w:t>Mashal</w:t>
      </w:r>
      <w:r w:rsidRPr="003C6D5A">
        <w:rPr>
          <w:rFonts w:ascii="Times New Roman" w:eastAsia="Times New Roman" w:hAnsi="Times New Roman" w:cs="Times New Roman"/>
          <w:sz w:val="24"/>
          <w:szCs w:val="24"/>
        </w:rPr>
        <w:t> </w:t>
      </w:r>
      <w:r w:rsidRPr="003C6D5A">
        <w:rPr>
          <w:rFonts w:ascii="Times New Roman" w:eastAsia="Times New Roman" w:hAnsi="Times New Roman" w:cs="David"/>
          <w:color w:val="000000"/>
          <w:sz w:val="24"/>
          <w:szCs w:val="24"/>
        </w:rPr>
        <w:t>et al., 2008</w:t>
      </w:r>
      <w:r w:rsidRPr="003C6D5A">
        <w:rPr>
          <w:rFonts w:ascii="Times New Roman" w:eastAsia="Times New Roman" w:hAnsi="Times New Roman" w:cs="David"/>
          <w:color w:val="000000"/>
          <w:sz w:val="24"/>
          <w:szCs w:val="24"/>
          <w:rtl/>
        </w:rPr>
        <w:t>)</w:t>
      </w:r>
      <w:r w:rsidRPr="003C6D5A">
        <w:rPr>
          <w:rFonts w:ascii="Times New Roman" w:eastAsia="Times New Roman" w:hAnsi="Times New Roman" w:cs="David"/>
          <w:sz w:val="24"/>
          <w:szCs w:val="24"/>
          <w:rtl/>
        </w:rPr>
        <w:t xml:space="preserve">. </w:t>
      </w:r>
    </w:p>
    <w:p w:rsidR="003C6D5A" w:rsidRPr="003C6D5A" w:rsidRDefault="003C6D5A" w:rsidP="003C6D5A">
      <w:pPr>
        <w:spacing w:before="100" w:beforeAutospacing="1" w:after="0" w:afterAutospacing="1" w:line="360" w:lineRule="auto"/>
        <w:jc w:val="both"/>
        <w:rPr>
          <w:rFonts w:ascii="Times New Roman" w:eastAsia="Times New Roman" w:hAnsi="Times New Roman" w:cs="David"/>
          <w:color w:val="000000"/>
          <w:sz w:val="24"/>
          <w:szCs w:val="24"/>
          <w:rtl/>
        </w:rPr>
      </w:pPr>
      <w:r w:rsidRPr="003C6D5A">
        <w:rPr>
          <w:rFonts w:ascii="Times New Roman" w:eastAsia="Times New Roman" w:hAnsi="Times New Roman" w:cs="David"/>
          <w:color w:val="000000"/>
          <w:sz w:val="24"/>
          <w:szCs w:val="24"/>
          <w:rtl/>
        </w:rPr>
        <w:t>בהסתמך על נתונים אלו ואחרים, מטרת מחקר זה היתה לבדוק</w:t>
      </w:r>
      <w:r w:rsidRPr="003C6D5A">
        <w:rPr>
          <w:rFonts w:ascii="Times New Roman" w:eastAsia="Times New Roman" w:hAnsi="Times New Roman" w:cs="Times New Roman"/>
          <w:sz w:val="24"/>
          <w:szCs w:val="24"/>
          <w:rtl/>
        </w:rPr>
        <w:t> </w:t>
      </w:r>
      <w:r w:rsidRPr="003C6D5A">
        <w:rPr>
          <w:rFonts w:ascii="Times New Roman" w:eastAsia="Times New Roman" w:hAnsi="Times New Roman" w:cs="David"/>
          <w:color w:val="000000"/>
          <w:sz w:val="24"/>
          <w:szCs w:val="24"/>
          <w:rtl/>
        </w:rPr>
        <w:t>תהלוך</w:t>
      </w:r>
      <w:r w:rsidRPr="003C6D5A">
        <w:rPr>
          <w:rFonts w:ascii="Times New Roman" w:eastAsia="Times New Roman" w:hAnsi="Times New Roman" w:cs="Times New Roman"/>
          <w:sz w:val="24"/>
          <w:szCs w:val="24"/>
          <w:rtl/>
        </w:rPr>
        <w:t> </w:t>
      </w:r>
      <w:r w:rsidRPr="003C6D5A">
        <w:rPr>
          <w:rFonts w:ascii="Times New Roman" w:eastAsia="Times New Roman" w:hAnsi="Times New Roman" w:cs="David"/>
          <w:color w:val="000000"/>
          <w:sz w:val="24"/>
          <w:szCs w:val="24"/>
          <w:rtl/>
        </w:rPr>
        <w:t xml:space="preserve">ניבים רב משמעיים ואירוניות באמצעות פרדיגמת שדה ראיה חצוי בעת החלטה לקסיקלית (בניבים) וסמנטית (באירוניות) בקרב לקויי למידה מבוגרים. אוכלוסיית המחקר מנתה 50 נבדקים, מתוכם 25 מבוגרים (בגילאי 18-35) בעלי לקות למידה (ללא </w:t>
      </w:r>
      <w:r w:rsidRPr="003C6D5A">
        <w:rPr>
          <w:rFonts w:ascii="Times New Roman" w:eastAsia="Times New Roman" w:hAnsi="Times New Roman" w:cs="David"/>
          <w:color w:val="000000"/>
          <w:sz w:val="24"/>
          <w:szCs w:val="24"/>
        </w:rPr>
        <w:t>ADD/ADHD</w:t>
      </w:r>
      <w:r w:rsidRPr="003C6D5A">
        <w:rPr>
          <w:rFonts w:ascii="Times New Roman" w:eastAsia="Times New Roman" w:hAnsi="Times New Roman" w:cs="David"/>
          <w:color w:val="000000"/>
          <w:sz w:val="24"/>
          <w:szCs w:val="24"/>
          <w:rtl/>
        </w:rPr>
        <w:t xml:space="preserve">) וקבוצת ביקורת - 25 מבוגרים ללא עבר של לקויות למידה מאובחנות. לנבדקים הועברו מבדקי רקע והערכה שמטרתם לבדוק יכולות קוגניטיביות ויכולות קריאה (מהירות ודיוק). כמו כן, הועבר שאלון דיווח עצמי לפיקוח ולשלילת קיומו של </w:t>
      </w:r>
      <w:r w:rsidRPr="003C6D5A">
        <w:rPr>
          <w:rFonts w:ascii="Times New Roman" w:eastAsia="Times New Roman" w:hAnsi="Times New Roman" w:cs="David"/>
          <w:color w:val="000000"/>
          <w:sz w:val="24"/>
          <w:szCs w:val="24"/>
        </w:rPr>
        <w:t>ADHD</w:t>
      </w:r>
      <w:r w:rsidRPr="003C6D5A">
        <w:rPr>
          <w:rFonts w:ascii="Times New Roman" w:eastAsia="Times New Roman" w:hAnsi="Times New Roman" w:cs="David"/>
          <w:color w:val="000000"/>
          <w:sz w:val="24"/>
          <w:szCs w:val="24"/>
          <w:rtl/>
        </w:rPr>
        <w:t>. במסגרת הניסויים ההתנהגותיים נערכו שני</w:t>
      </w:r>
      <w:r w:rsidRPr="003C6D5A">
        <w:rPr>
          <w:rFonts w:ascii="Times New Roman" w:eastAsia="Times New Roman" w:hAnsi="Times New Roman" w:cs="David"/>
          <w:sz w:val="24"/>
          <w:szCs w:val="24"/>
          <w:rtl/>
        </w:rPr>
        <w:t> </w:t>
      </w:r>
      <w:r w:rsidRPr="003C6D5A">
        <w:rPr>
          <w:rFonts w:ascii="Times New Roman" w:eastAsia="Times New Roman" w:hAnsi="Times New Roman" w:cs="David"/>
          <w:color w:val="000000"/>
          <w:sz w:val="24"/>
          <w:szCs w:val="24"/>
          <w:rtl/>
        </w:rPr>
        <w:t xml:space="preserve">ניסויים בהם נבדקה מעורבות המיספרית בתיהלוך ניבים ואירוניות (בהתאמה), תוך שימוש בפרדיגמת שדה הראייה החצוי. בנוסף לכך, מטרתנו היתה לבדוק כיצד תשפיע חשיפה לתוכן אירוני על העיבוד ההמיספרי באוכלוסיית לקויי למידה מבוגרים. לצורך המחקר נבנתה תכנית הכוללת חשיפה לתוכן אירוני באמצעות קטעים אירוניים קצרים מסרטים. לאחר החשיפה לתוכן האירוני העיבוד ההמיספרי נבדק שוב דרך ניסוי המיספרי התנהגותי בפרדיגמת שדה ראייה חצוי. </w:t>
      </w:r>
    </w:p>
    <w:p w:rsidR="003C6D5A" w:rsidRPr="003C6D5A" w:rsidRDefault="003C6D5A" w:rsidP="003C6D5A">
      <w:pPr>
        <w:spacing w:before="100" w:beforeAutospacing="1" w:after="0" w:afterAutospacing="1" w:line="360" w:lineRule="auto"/>
        <w:jc w:val="both"/>
        <w:rPr>
          <w:rFonts w:ascii="Times New Roman" w:eastAsia="Times New Roman" w:hAnsi="Times New Roman" w:cs="David"/>
          <w:color w:val="000000"/>
          <w:sz w:val="24"/>
          <w:szCs w:val="24"/>
          <w:rtl/>
        </w:rPr>
      </w:pPr>
      <w:r w:rsidRPr="003C6D5A">
        <w:rPr>
          <w:rFonts w:ascii="Times New Roman" w:eastAsia="Times New Roman" w:hAnsi="Times New Roman" w:cs="David"/>
          <w:color w:val="000000"/>
          <w:sz w:val="24"/>
          <w:szCs w:val="24"/>
          <w:rtl/>
        </w:rPr>
        <w:t>שיערנו כי נבדקים תקינים יראו יתרון להמיספרה שמאל בפירוש האידיומטי ויתרון להמיספרה ימין בפרשנות הליטרלית של ניבים (</w:t>
      </w:r>
      <w:r w:rsidRPr="003C6D5A">
        <w:rPr>
          <w:rFonts w:ascii="Times New Roman" w:eastAsia="Times New Roman" w:hAnsi="Times New Roman" w:cs="David"/>
          <w:color w:val="000000"/>
          <w:sz w:val="24"/>
          <w:szCs w:val="24"/>
        </w:rPr>
        <w:t>Mashal et al., 2008</w:t>
      </w:r>
      <w:r w:rsidRPr="003C6D5A">
        <w:rPr>
          <w:rFonts w:ascii="Times New Roman" w:eastAsia="Times New Roman" w:hAnsi="Times New Roman" w:cs="David"/>
          <w:color w:val="000000"/>
          <w:sz w:val="24"/>
          <w:szCs w:val="24"/>
          <w:rtl/>
        </w:rPr>
        <w:t xml:space="preserve">) ובשונה מכך, נבדקים עם דיסלקציה יראו יתרון להמיספרה ימין בפירוש האידיומטי. בנוסף, שיערנו כי החשיפה לתוכן אירוני תשפר את ההבנה של האירוניות בקרב לקויי למידה, כמו גם בקרב האוכלוסייה התקינה. זאת ועוד, שערנו כי יחול שינוי בעיבוד ההמיספרי במשפטים בעלי משמעות אירונית בקרב לקויי הלמידה באופן כזה שתראה מעורבות רבה יותר של המיספרה שמאל יותר מהמיספרה ימין (בדומה לאוכלוסייה התקינה), זאת בהשוואה לתפקוד של לקויי הלמידה טרם החשיפה לתוכן האירוני. </w:t>
      </w:r>
    </w:p>
    <w:p w:rsidR="003C6D5A" w:rsidRPr="003C6D5A" w:rsidRDefault="003C6D5A" w:rsidP="003C6D5A">
      <w:pPr>
        <w:spacing w:before="100" w:beforeAutospacing="1" w:after="0" w:afterAutospacing="1" w:line="360" w:lineRule="auto"/>
        <w:jc w:val="both"/>
        <w:rPr>
          <w:rFonts w:ascii="Times New Roman" w:eastAsia="Times New Roman" w:hAnsi="Times New Roman" w:cs="David"/>
          <w:color w:val="000000"/>
          <w:sz w:val="24"/>
          <w:szCs w:val="24"/>
          <w:rtl/>
        </w:rPr>
      </w:pPr>
      <w:r w:rsidRPr="003C6D5A">
        <w:rPr>
          <w:rFonts w:ascii="Times New Roman" w:eastAsia="Times New Roman" w:hAnsi="Times New Roman" w:cs="David"/>
          <w:color w:val="000000"/>
          <w:sz w:val="24"/>
          <w:szCs w:val="24"/>
          <w:rtl/>
        </w:rPr>
        <w:t xml:space="preserve">מצאנו כי </w:t>
      </w:r>
      <w:r w:rsidRPr="003C6D5A">
        <w:rPr>
          <w:rFonts w:ascii="Times New Roman" w:eastAsia="Times New Roman" w:hAnsi="Times New Roman" w:cs="David"/>
          <w:sz w:val="24"/>
          <w:szCs w:val="24"/>
          <w:rtl/>
        </w:rPr>
        <w:t xml:space="preserve">מבוגרים עם דיסלקציה מראים אסימטריה מוחית הפוכה בהשוואה למבוגרים בעלי התפתחות תקינה בעת תיהלוך המיספרי של ניבים. באוכלוסיה התקינה, המיספרה שמאל מראה יתרון בעת עיבוד של המשמעות האידיומטית של ניבים ובשונה מכך, המיספרה ימין מראה יתרון </w:t>
      </w:r>
      <w:r w:rsidRPr="003C6D5A">
        <w:rPr>
          <w:rFonts w:ascii="Times New Roman" w:eastAsia="Times New Roman" w:hAnsi="Times New Roman" w:cs="David"/>
          <w:sz w:val="24"/>
          <w:szCs w:val="24"/>
          <w:rtl/>
        </w:rPr>
        <w:lastRenderedPageBreak/>
        <w:t xml:space="preserve">בעת עיבוד של המשמעות הליטרלית של הניב. יחד עם זאת, כאשר ההבדל בעיבוד ההמיספרי נבחן דרך אירוניות, לא קיבלנו הבדלים מובהקים בין הקבוצות. יתרה מכך, כאשר בדקנו את השפעת החשיפה לתוכן אירוני, גם כאן לא  עלה הבדל מובהק באחוזי השיפור בין שתי הקבוצות. </w:t>
      </w:r>
      <w:r w:rsidRPr="003C6D5A">
        <w:rPr>
          <w:rFonts w:ascii="Times New Roman" w:eastAsia="Times New Roman" w:hAnsi="Times New Roman" w:cs="David"/>
          <w:color w:val="000000"/>
          <w:sz w:val="24"/>
          <w:szCs w:val="24"/>
          <w:rtl/>
        </w:rPr>
        <w:t xml:space="preserve">עם זאת, ניתן היה לראות מתוצאות העיבוד ההמיספרי של אירוניות כי בקרב שתי קבוצות המחקר השיפור באחוזי הדיוק בהמיספרה שמאל היה גבוה באופן מובהק מהשיפור באחוזי הדיוק של המיספרה ימין. </w:t>
      </w:r>
    </w:p>
    <w:p w:rsidR="003C6D5A" w:rsidRPr="003C6D5A" w:rsidRDefault="003C6D5A" w:rsidP="003C6D5A">
      <w:pPr>
        <w:spacing w:before="100" w:beforeAutospacing="1" w:after="100" w:afterAutospacing="1" w:line="360" w:lineRule="auto"/>
        <w:jc w:val="both"/>
        <w:rPr>
          <w:rFonts w:ascii="Times New Roman" w:eastAsia="Times New Roman" w:hAnsi="Times New Roman" w:cs="David"/>
          <w:sz w:val="24"/>
          <w:szCs w:val="24"/>
          <w:rtl/>
        </w:rPr>
      </w:pPr>
      <w:r w:rsidRPr="003C6D5A">
        <w:rPr>
          <w:rFonts w:ascii="Times New Roman" w:eastAsia="Times New Roman" w:hAnsi="Times New Roman" w:cs="David"/>
          <w:sz w:val="24"/>
          <w:szCs w:val="24"/>
          <w:rtl/>
        </w:rPr>
        <w:t xml:space="preserve">ממצאי המחקר הנוכחי מדגישים את חשיבות לימוד השפה הפיגורטיבית בקרב כלל האוכלוסייה כבר בגיל צעיר במסגרות החינוך, ובפרט בקרב לקויי למידה. יתרה מכך, ממצאי המחקר מעידים כי הפרשנויות הפיגורטיביות בקרב דיסלקטים בוגרים מעובדות במח כמו פרשנויות ליטרליות באוכלוסיה התקינה. מכאן, שנדרשת תשומת לב לאופן שבו שפה פיגורטיבית נרכשת ומעובדת באוכלוסיה עם דיסלקציה. כפועל יוצא, היינו ממליצים להרחיב את המחקרים בתחום על מנת לתקף את התוצאות הללו לאספקטים אחרים של השפה הפיגורטיבית . </w:t>
      </w:r>
    </w:p>
    <w:p w:rsidR="003C6D5A" w:rsidRPr="003C6D5A" w:rsidRDefault="003C6D5A" w:rsidP="003C6D5A">
      <w:pPr>
        <w:bidi w:val="0"/>
        <w:jc w:val="both"/>
        <w:rPr>
          <w:rFonts w:ascii="Times New Roman" w:eastAsia="Calibri" w:hAnsi="Times New Roman" w:cs="Times New Roman"/>
          <w:sz w:val="24"/>
          <w:szCs w:val="24"/>
        </w:rPr>
      </w:pPr>
    </w:p>
    <w:p w:rsidR="003C6D5A" w:rsidRPr="003C6D5A" w:rsidRDefault="003C6D5A" w:rsidP="003C6D5A">
      <w:pPr>
        <w:bidi w:val="0"/>
        <w:rPr>
          <w:rFonts w:ascii="Times New Roman" w:eastAsia="Calibri" w:hAnsi="Times New Roman" w:cs="Times New Roman"/>
          <w:sz w:val="24"/>
          <w:szCs w:val="24"/>
          <w:rtl/>
        </w:rPr>
      </w:pPr>
    </w:p>
    <w:p w:rsidR="003C6D5A" w:rsidRPr="003C6D5A" w:rsidRDefault="003C6D5A" w:rsidP="003C6D5A">
      <w:pPr>
        <w:bidi w:val="0"/>
        <w:spacing w:after="0" w:line="240" w:lineRule="auto"/>
        <w:rPr>
          <w:rFonts w:ascii="Arial" w:eastAsia="Calibri" w:hAnsi="Arial" w:cs="David"/>
          <w:b/>
          <w:bCs/>
          <w:kern w:val="32"/>
          <w:sz w:val="32"/>
          <w:szCs w:val="32"/>
        </w:rPr>
      </w:pPr>
      <w:r w:rsidRPr="003C6D5A">
        <w:rPr>
          <w:rFonts w:ascii="Calibri" w:eastAsia="Calibri" w:hAnsi="Calibri" w:cs="Arial"/>
          <w:rtl/>
        </w:rPr>
        <w:br w:type="page"/>
      </w:r>
    </w:p>
    <w:p w:rsidR="00BD4576" w:rsidRPr="003C6D5A" w:rsidRDefault="00BD4576"/>
    <w:sectPr w:rsidR="00BD4576" w:rsidRPr="003C6D5A" w:rsidSect="00087E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5A"/>
    <w:rsid w:val="00037EAE"/>
    <w:rsid w:val="00087E53"/>
    <w:rsid w:val="000A77A9"/>
    <w:rsid w:val="001067D3"/>
    <w:rsid w:val="00117DC9"/>
    <w:rsid w:val="00205466"/>
    <w:rsid w:val="00264208"/>
    <w:rsid w:val="00282C32"/>
    <w:rsid w:val="002F05B9"/>
    <w:rsid w:val="003229D2"/>
    <w:rsid w:val="003247E2"/>
    <w:rsid w:val="00331C58"/>
    <w:rsid w:val="00341975"/>
    <w:rsid w:val="00347BD4"/>
    <w:rsid w:val="00374303"/>
    <w:rsid w:val="00382ADE"/>
    <w:rsid w:val="003C6D5A"/>
    <w:rsid w:val="00402AB9"/>
    <w:rsid w:val="00477A68"/>
    <w:rsid w:val="004F0E30"/>
    <w:rsid w:val="004F5A68"/>
    <w:rsid w:val="00523162"/>
    <w:rsid w:val="00545EAC"/>
    <w:rsid w:val="005C2F57"/>
    <w:rsid w:val="00607F09"/>
    <w:rsid w:val="006515AB"/>
    <w:rsid w:val="006F5CEC"/>
    <w:rsid w:val="00753FA4"/>
    <w:rsid w:val="00786C5A"/>
    <w:rsid w:val="00800938"/>
    <w:rsid w:val="00854DEB"/>
    <w:rsid w:val="008B5FE2"/>
    <w:rsid w:val="008C45CA"/>
    <w:rsid w:val="008D2F28"/>
    <w:rsid w:val="008F07D2"/>
    <w:rsid w:val="00900FA0"/>
    <w:rsid w:val="009164AF"/>
    <w:rsid w:val="009D5E34"/>
    <w:rsid w:val="00A23FC9"/>
    <w:rsid w:val="00A36988"/>
    <w:rsid w:val="00A77D99"/>
    <w:rsid w:val="00A83CFC"/>
    <w:rsid w:val="00A84AD7"/>
    <w:rsid w:val="00AD67C2"/>
    <w:rsid w:val="00B404FA"/>
    <w:rsid w:val="00BB32A2"/>
    <w:rsid w:val="00BB3EC3"/>
    <w:rsid w:val="00BC0188"/>
    <w:rsid w:val="00BD4576"/>
    <w:rsid w:val="00BE6F6A"/>
    <w:rsid w:val="00C16691"/>
    <w:rsid w:val="00CA0A30"/>
    <w:rsid w:val="00CC345B"/>
    <w:rsid w:val="00D2688C"/>
    <w:rsid w:val="00D43197"/>
    <w:rsid w:val="00D47AEC"/>
    <w:rsid w:val="00D55286"/>
    <w:rsid w:val="00D83FC7"/>
    <w:rsid w:val="00D853FF"/>
    <w:rsid w:val="00D9500E"/>
    <w:rsid w:val="00DA6050"/>
    <w:rsid w:val="00DB6CA1"/>
    <w:rsid w:val="00DB716D"/>
    <w:rsid w:val="00DB7734"/>
    <w:rsid w:val="00DC4CD4"/>
    <w:rsid w:val="00DE2E73"/>
    <w:rsid w:val="00E275C3"/>
    <w:rsid w:val="00E43169"/>
    <w:rsid w:val="00E4345C"/>
    <w:rsid w:val="00EB42F8"/>
    <w:rsid w:val="00EC7984"/>
    <w:rsid w:val="00EF0519"/>
    <w:rsid w:val="00F13B0D"/>
    <w:rsid w:val="00F30770"/>
    <w:rsid w:val="00F40FF9"/>
    <w:rsid w:val="00F46299"/>
    <w:rsid w:val="00F675D4"/>
    <w:rsid w:val="00F95D62"/>
    <w:rsid w:val="00FF3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D5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C6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D5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C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2829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dc:creator>
  <cp:keywords/>
  <dc:description/>
  <cp:lastModifiedBy>miri</cp:lastModifiedBy>
  <cp:revision>1</cp:revision>
  <dcterms:created xsi:type="dcterms:W3CDTF">2015-03-15T07:16:00Z</dcterms:created>
  <dcterms:modified xsi:type="dcterms:W3CDTF">2015-03-15T07:18:00Z</dcterms:modified>
</cp:coreProperties>
</file>